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Delos Aerospace: Strategic, Technical, and Acquisition Feasibility Brief</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The Mandate and The Immediate Viability</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Department of Defense’s </w:t>
      </w:r>
      <w:r w:rsidDel="00000000" w:rsidR="00000000" w:rsidRPr="00000000">
        <w:rPr>
          <w:rFonts w:ascii="Google Sans" w:cs="Google Sans" w:eastAsia="Google Sans" w:hAnsi="Google Sans"/>
          <w:b w:val="1"/>
          <w:bCs w:val="1"/>
          <w:color w:val="1f1f1f"/>
          <w:rtl w:val="0"/>
        </w:rPr>
        <w:t xml:space="preserve">Tactically Responsive Space (TacRS)</w:t>
      </w:r>
      <w:r w:rsidDel="00000000" w:rsidR="00000000" w:rsidRPr="00000000">
        <w:rPr>
          <w:rFonts w:ascii="Google Sans" w:cs="Google Sans" w:eastAsia="Google Sans" w:hAnsi="Google Sans"/>
          <w:color w:val="1f1f1f"/>
          <w:rtl w:val="0"/>
        </w:rPr>
        <w:t xml:space="preserve"> mandate (codified in the VICTUS mission series) requires 24-hour orbital launch capabilities. Current solutions rely on static launch pads (Vandenberg, Cape Canaveral) that are geostrategically vulnerable, bottlenecked by launch cadence, and constrained by weather.</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Delos Aerospace provides a sovereign, untargetable launch capability via an </w:t>
      </w:r>
      <w:r w:rsidDel="00000000" w:rsidR="00000000" w:rsidRPr="00000000">
        <w:rPr>
          <w:rFonts w:ascii="Google Sans" w:cs="Google Sans" w:eastAsia="Google Sans" w:hAnsi="Google Sans"/>
          <w:b w:val="1"/>
          <w:bCs w:val="1"/>
          <w:color w:val="1f1f1f"/>
          <w:rtl w:val="0"/>
        </w:rPr>
        <w:t xml:space="preserve">Expeditionary Stratospheric Architecture</w:t>
      </w:r>
      <w:r w:rsidDel="00000000" w:rsidR="00000000" w:rsidRPr="00000000">
        <w:rPr>
          <w:rFonts w:ascii="Google Sans" w:cs="Google Sans" w:eastAsia="Google Sans" w:hAnsi="Google Sans"/>
          <w:color w:val="1f1f1f"/>
          <w:rtl w:val="0"/>
        </w:rPr>
        <w:t xml:space="preserve">. By utilizing a High Altitude Long Endurance (HALE) airship, Delos lifts a Commercial Off-The-Shelf (COTS) rocket 15 miles into the stratosphere prior to ignition. This eliminates 95% of aerodynamic drag (creating a 15–30% payload multiplier), bypasses tropospheric weather, and removes reliance on fixed ground infrastructure.</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Engineering &amp; Operational Defenses (Pre-empting the Skeptic)</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Evaluators commonly cite three reasons stratospheric launch concepts fail. The Delos architecture engineers specifically around these historical failure modes:</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The "Snapback" &amp; Thermal Plume Problem:</w:t>
      </w:r>
      <w:r w:rsidDel="00000000" w:rsidR="00000000" w:rsidRPr="00000000">
        <w:rPr>
          <w:rFonts w:ascii="Google Sans" w:cs="Google Sans" w:eastAsia="Google Sans" w:hAnsi="Google Sans"/>
          <w:color w:val="1f1f1f"/>
          <w:rtl w:val="0"/>
        </w:rPr>
        <w:t xml:space="preserve"> Dropping a multi-ton rocket from a buoyant vessel traditionally causes the vessel to violently accelerate upward, risking structural tearing or dropping the rocket directly into its own exhaust plume.</w:t>
      </w:r>
    </w:p>
    <w:p w:rsidR="00000000" w:rsidDel="00000000" w:rsidP="00000000" w:rsidRDefault="00000000" w:rsidRPr="00000000" w14:paraId="00000008">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w:cs="Google Sans" w:eastAsia="Google Sans" w:hAnsi="Google Sans"/>
          <w:i w:val="1"/>
          <w:iCs w:val="1"/>
          <w:color w:val="1f1f1f"/>
          <w:rtl w:val="0"/>
        </w:rPr>
        <w:t xml:space="preserve">The Delos Solution:</w:t>
      </w:r>
      <w:r w:rsidDel="00000000" w:rsidR="00000000" w:rsidRPr="00000000">
        <w:rPr>
          <w:rFonts w:ascii="Google Sans" w:cs="Google Sans" w:eastAsia="Google Sans" w:hAnsi="Google Sans"/>
          <w:color w:val="1f1f1f"/>
          <w:rtl w:val="0"/>
        </w:rPr>
        <w:t xml:space="preserve"> We utilize a horizontal, thermally isolated kinematic release bus (the "Sky-Dock"). Rather than fighting the snapback, Delos weaponizes it. Upon horizontal release, the rapid buoyancy ascent instantly creates vertical and thermal clearance between the delicate envelope and the rocket. A secondary cold-gas thruster system on the rocket ensures stabilization and proper pitch prior to main engine ignition, ensuring zero thermal damage to the airship.</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The Maritime/Wind Shear Vulnerability:</w:t>
      </w:r>
      <w:r w:rsidDel="00000000" w:rsidR="00000000" w:rsidRPr="00000000">
        <w:rPr>
          <w:rFonts w:ascii="Google Sans" w:cs="Google Sans" w:eastAsia="Google Sans" w:hAnsi="Google Sans"/>
          <w:color w:val="1f1f1f"/>
          <w:rtl w:val="0"/>
        </w:rPr>
        <w:t xml:space="preserve"> Inflating a massive HALE airship on a barge in open ocean swells typically turns the envelope into an uncontrollable sail.</w:t>
      </w:r>
    </w:p>
    <w:p w:rsidR="00000000" w:rsidDel="00000000" w:rsidP="00000000" w:rsidRDefault="00000000" w:rsidRPr="00000000" w14:paraId="0000000A">
      <w:pPr>
        <w:numPr>
          <w:ilvl w:val="1"/>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w:cs="Google Sans" w:eastAsia="Google Sans" w:hAnsi="Google Sans"/>
          <w:i w:val="1"/>
          <w:iCs w:val="1"/>
          <w:color w:val="1f1f1f"/>
          <w:rtl w:val="0"/>
        </w:rPr>
        <w:t xml:space="preserve">The Delos Solution:</w:t>
      </w:r>
      <w:r w:rsidDel="00000000" w:rsidR="00000000" w:rsidRPr="00000000">
        <w:rPr>
          <w:rFonts w:ascii="Google Sans" w:cs="Google Sans" w:eastAsia="Google Sans" w:hAnsi="Google Sans"/>
          <w:color w:val="1f1f1f"/>
          <w:rtl w:val="0"/>
        </w:rPr>
        <w:t xml:space="preserve"> Integration does not occur on a flat deck. The maritime barge utilizes a rigid, retractable clamshell integration bay and Dynamic Positioning (DP) tugs to create a zero-crosswind environment. The system is only exposed to ambient winds once fully pressurized and structurally rigid.</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The FAA Downrange Safety Bottleneck:</w:t>
      </w:r>
      <w:r w:rsidDel="00000000" w:rsidR="00000000" w:rsidRPr="00000000">
        <w:rPr>
          <w:rFonts w:ascii="Google Sans" w:cs="Google Sans" w:eastAsia="Google Sans" w:hAnsi="Google Sans"/>
          <w:color w:val="1f1f1f"/>
          <w:rtl w:val="0"/>
        </w:rPr>
        <w:t xml:space="preserve"> The FAA's Office of Commercial Space Transportation (AST) will not license launches that drop spent rocket stages over populated areas.</w:t>
      </w:r>
    </w:p>
    <w:p w:rsidR="00000000" w:rsidDel="00000000" w:rsidP="00000000" w:rsidRDefault="00000000" w:rsidRPr="00000000" w14:paraId="0000000C">
      <w:pPr>
        <w:numPr>
          <w:ilvl w:val="1"/>
          <w:numId w:val="4"/>
        </w:numPr>
        <w:pBdr>
          <w:top w:space="0" w:sz="0" w:val="nil"/>
          <w:left w:space="0" w:sz="0" w:val="nil"/>
          <w:bottom w:space="0" w:sz="0" w:val="nil"/>
          <w:right w:space="0" w:sz="0" w:val="nil"/>
          <w:between w:space="0" w:sz="0" w:val="nil"/>
        </w:pBdr>
        <w:shd w:fill="auto" w:val="clear"/>
        <w:spacing w:after="120" w:line="275.9999942779541" w:lineRule="auto"/>
        <w:ind w:left="870" w:hanging="360"/>
      </w:pPr>
      <w:r w:rsidDel="00000000" w:rsidR="00000000" w:rsidRPr="00000000">
        <w:rPr>
          <w:rFonts w:ascii="Google Sans" w:cs="Google Sans" w:eastAsia="Google Sans" w:hAnsi="Google Sans"/>
          <w:i w:val="1"/>
          <w:iCs w:val="1"/>
          <w:color w:val="1f1f1f"/>
          <w:rtl w:val="0"/>
        </w:rPr>
        <w:t xml:space="preserve">The Delos Solution:</w:t>
      </w:r>
      <w:r w:rsidDel="00000000" w:rsidR="00000000" w:rsidRPr="00000000">
        <w:rPr>
          <w:rFonts w:ascii="Google Sans" w:cs="Google Sans" w:eastAsia="Google Sans" w:hAnsi="Google Sans"/>
          <w:color w:val="1f1f1f"/>
          <w:rtl w:val="0"/>
        </w:rPr>
        <w:t xml:space="preserve"> By executing from a maritime barge, Delos tows the system into designated, pre-cleared oceanic launch boxes. Combined with Autonomous Flight Safety Systems (AFSS) integrated into the COTS rocket, population risk is mathematically reduced to zero, streamlining the AST licensing process.</w:t>
      </w:r>
    </w:p>
    <w:p w:rsidR="00000000" w:rsidDel="00000000" w:rsidP="00000000" w:rsidRDefault="00000000" w:rsidRPr="00000000" w14:paraId="0000000D">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The Non-Dilutive Capitalization Pathway</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Delos avoids the hardware "Valley of Death" through a phased, non-dilutive funding strategy that shifts the burden of rocket manufacturing to established partners.</w:t>
      </w:r>
    </w:p>
    <w:p w:rsidR="00000000" w:rsidDel="00000000" w:rsidP="00000000" w:rsidRDefault="00000000" w:rsidRPr="00000000" w14:paraId="0000000F">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Phase I (State Seed):</w:t>
      </w:r>
      <w:r w:rsidDel="00000000" w:rsidR="00000000" w:rsidRPr="00000000">
        <w:rPr>
          <w:rFonts w:ascii="Google Sans" w:cs="Google Sans" w:eastAsia="Google Sans" w:hAnsi="Google Sans"/>
          <w:color w:val="1f1f1f"/>
          <w:rtl w:val="0"/>
        </w:rPr>
        <w:t xml:space="preserve"> Utilize state-level bridge grants (e.g., NC IDEA) exclusively to formalize Sky-Dock CAD modeling, kinematic math, and Provisional Patent Applications.</w:t>
      </w:r>
    </w:p>
    <w:p w:rsidR="00000000" w:rsidDel="00000000" w:rsidP="00000000" w:rsidRDefault="00000000" w:rsidRPr="00000000" w14:paraId="00000010">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Phase II (Federal SBIR/STTR):</w:t>
      </w:r>
      <w:r w:rsidDel="00000000" w:rsidR="00000000" w:rsidRPr="00000000">
        <w:rPr>
          <w:rFonts w:ascii="Google Sans" w:cs="Google Sans" w:eastAsia="Google Sans" w:hAnsi="Google Sans"/>
          <w:color w:val="1f1f1f"/>
          <w:rtl w:val="0"/>
        </w:rPr>
        <w:t xml:space="preserve"> Target SpaceWERX (TacRS Challenge) for Phase I and Phase II feasibility and prototyping grants.</w:t>
      </w:r>
    </w:p>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w:cs="Google Sans" w:eastAsia="Google Sans" w:hAnsi="Google Sans"/>
          <w:b w:val="1"/>
          <w:bCs w:val="1"/>
          <w:color w:val="1f1f1f"/>
          <w:rtl w:val="0"/>
        </w:rPr>
        <w:t xml:space="preserve">Phase III (Strategic Teaming):</w:t>
      </w:r>
      <w:r w:rsidDel="00000000" w:rsidR="00000000" w:rsidRPr="00000000">
        <w:rPr>
          <w:rFonts w:ascii="Google Sans" w:cs="Google Sans" w:eastAsia="Google Sans" w:hAnsi="Google Sans"/>
          <w:color w:val="1f1f1f"/>
          <w:rtl w:val="0"/>
        </w:rPr>
        <w:t xml:space="preserve"> Delos does </w:t>
      </w:r>
      <w:r w:rsidDel="00000000" w:rsidR="00000000" w:rsidRPr="00000000">
        <w:rPr>
          <w:rFonts w:ascii="Google Sans" w:cs="Google Sans" w:eastAsia="Google Sans" w:hAnsi="Google Sans"/>
          <w:i w:val="1"/>
          <w:iCs w:val="1"/>
          <w:color w:val="1f1f1f"/>
          <w:rtl w:val="0"/>
        </w:rPr>
        <w:t xml:space="preserve">not</w:t>
      </w:r>
      <w:r w:rsidDel="00000000" w:rsidR="00000000" w:rsidRPr="00000000">
        <w:rPr>
          <w:rFonts w:ascii="Google Sans" w:cs="Google Sans" w:eastAsia="Google Sans" w:hAnsi="Google Sans"/>
          <w:color w:val="1f1f1f"/>
          <w:rtl w:val="0"/>
        </w:rPr>
        <w:t xml:space="preserve"> build the rocket or the envelope; Delos builds the integration IP (the Sky-Dock). We execute Memorandums of Understanding (MOUs) with established COTS rocket providers (e.g., Firefly, ABL) and HALE manufacturers. These partners provide test hardware at cost, subsidized by the massive new TacRS market Delos unlocks for their existing product lines.</w:t>
      </w:r>
    </w:p>
    <w:p w:rsidR="00000000" w:rsidDel="00000000" w:rsidP="00000000" w:rsidRDefault="00000000" w:rsidRPr="00000000" w14:paraId="00000012">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Intellectual Property &amp; Data Rights Assertion</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Delos Aerospace enforces a rigid, DFARS-compliant data rights strategy. Because the foundational architecture of the Sky-Dock and the operational kinematics are being developed </w:t>
      </w:r>
      <w:r w:rsidDel="00000000" w:rsidR="00000000" w:rsidRPr="00000000">
        <w:rPr>
          <w:rFonts w:ascii="Google Sans" w:cs="Google Sans" w:eastAsia="Google Sans" w:hAnsi="Google Sans"/>
          <w:b w:val="1"/>
          <w:bCs w:val="1"/>
          <w:color w:val="1f1f1f"/>
          <w:rtl w:val="0"/>
        </w:rPr>
        <w:t xml:space="preserve">exclusively at private/state expense</w:t>
      </w:r>
      <w:r w:rsidDel="00000000" w:rsidR="00000000" w:rsidRPr="00000000">
        <w:rPr>
          <w:rFonts w:ascii="Google Sans" w:cs="Google Sans" w:eastAsia="Google Sans" w:hAnsi="Google Sans"/>
          <w:color w:val="1f1f1f"/>
          <w:rtl w:val="0"/>
        </w:rPr>
        <w:t xml:space="preserve"> prior to federal engagement, Delos will legally assert </w:t>
      </w:r>
      <w:r w:rsidDel="00000000" w:rsidR="00000000" w:rsidRPr="00000000">
        <w:rPr>
          <w:rFonts w:ascii="Google Sans" w:cs="Google Sans" w:eastAsia="Google Sans" w:hAnsi="Google Sans"/>
          <w:b w:val="1"/>
          <w:bCs w:val="1"/>
          <w:color w:val="1f1f1f"/>
          <w:rtl w:val="0"/>
        </w:rPr>
        <w:t xml:space="preserve">Limited Rights</w:t>
      </w:r>
      <w:r w:rsidDel="00000000" w:rsidR="00000000" w:rsidRPr="00000000">
        <w:rPr>
          <w:rFonts w:ascii="Google Sans" w:cs="Google Sans" w:eastAsia="Google Sans" w:hAnsi="Google Sans"/>
          <w:color w:val="1f1f1f"/>
          <w:rtl w:val="0"/>
        </w:rPr>
        <w:t xml:space="preserve"> (Technical Data) and </w:t>
      </w:r>
      <w:r w:rsidDel="00000000" w:rsidR="00000000" w:rsidRPr="00000000">
        <w:rPr>
          <w:rFonts w:ascii="Google Sans" w:cs="Google Sans" w:eastAsia="Google Sans" w:hAnsi="Google Sans"/>
          <w:b w:val="1"/>
          <w:bCs w:val="1"/>
          <w:color w:val="1f1f1f"/>
          <w:rtl w:val="0"/>
        </w:rPr>
        <w:t xml:space="preserve">Restricted Rights</w:t>
      </w:r>
      <w:r w:rsidDel="00000000" w:rsidR="00000000" w:rsidRPr="00000000">
        <w:rPr>
          <w:rFonts w:ascii="Google Sans" w:cs="Google Sans" w:eastAsia="Google Sans" w:hAnsi="Google Sans"/>
          <w:color w:val="1f1f1f"/>
          <w:rtl w:val="0"/>
        </w:rPr>
        <w:t xml:space="preserve"> (Computer Software).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Under the federal SBIR pathway, any subsequent hardware iterations will fall under statutory </w:t>
      </w:r>
      <w:r w:rsidDel="00000000" w:rsidR="00000000" w:rsidRPr="00000000">
        <w:rPr>
          <w:rFonts w:ascii="Google Sans" w:cs="Google Sans" w:eastAsia="Google Sans" w:hAnsi="Google Sans"/>
          <w:b w:val="1"/>
          <w:bCs w:val="1"/>
          <w:color w:val="1f1f1f"/>
          <w:rtl w:val="0"/>
        </w:rPr>
        <w:t xml:space="preserve">SBIR Data Rights</w:t>
      </w:r>
      <w:r w:rsidDel="00000000" w:rsidR="00000000" w:rsidRPr="00000000">
        <w:rPr>
          <w:rFonts w:ascii="Google Sans" w:cs="Google Sans" w:eastAsia="Google Sans" w:hAnsi="Google Sans"/>
          <w:color w:val="1f1f1f"/>
          <w:rtl w:val="0"/>
        </w:rPr>
        <w:t xml:space="preserve">, granting Delos a legally mandated 20-year protection period against the government sharing our technical data with competitors.</w:t>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Why the DoD Will Award the Contract Despite Data Rights Assertion</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 common misconception is that the DoD refuses to award contracts if they cannot secure "Unlimited Rights" to the intellectual property. In the modern space acquisition environment, the opposite is true:</w:t>
      </w:r>
    </w:p>
    <w:p w:rsidR="00000000" w:rsidDel="00000000" w:rsidP="00000000" w:rsidRDefault="00000000" w:rsidRPr="00000000" w14:paraId="00000017">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The Shift to "Commercial Space as a Service" (CASaaS):</w:t>
      </w:r>
      <w:r w:rsidDel="00000000" w:rsidR="00000000" w:rsidRPr="00000000">
        <w:rPr>
          <w:rFonts w:ascii="Google Sans" w:cs="Google Sans" w:eastAsia="Google Sans" w:hAnsi="Google Sans"/>
          <w:color w:val="1f1f1f"/>
          <w:rtl w:val="0"/>
        </w:rPr>
        <w:t xml:space="preserve"> Space Systems Command (SSC) is actively pivoting away from buying and owning hardware. They do not want to own the Sky-Dock, nor do they want to pay to maintain or upgrade it. They want to buy "Launch as a Service." By Delos retaining the IP, Delos bears the sustainment and modernization costs. The DoD simply pays for the successful delivery of their payload to orbit.</w:t>
      </w:r>
    </w:p>
    <w:p w:rsidR="00000000" w:rsidDel="00000000" w:rsidP="00000000" w:rsidRDefault="00000000" w:rsidRPr="00000000" w14:paraId="00000018">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Statutory SBIR Mandates:</w:t>
      </w:r>
      <w:r w:rsidDel="00000000" w:rsidR="00000000" w:rsidRPr="00000000">
        <w:rPr>
          <w:rFonts w:ascii="Google Sans" w:cs="Google Sans" w:eastAsia="Google Sans" w:hAnsi="Google Sans"/>
          <w:color w:val="1f1f1f"/>
          <w:rtl w:val="0"/>
        </w:rPr>
        <w:t xml:space="preserve"> The DoD cannot penalize a company for asserting SBIR Data Rights. It is a federal statute designed specifically to protect small businesses. SpaceWERX exists </w:t>
      </w:r>
      <w:r w:rsidDel="00000000" w:rsidR="00000000" w:rsidRPr="00000000">
        <w:rPr>
          <w:rFonts w:ascii="Google Sans" w:cs="Google Sans" w:eastAsia="Google Sans" w:hAnsi="Google Sans"/>
          <w:i w:val="1"/>
          <w:iCs w:val="1"/>
          <w:color w:val="1f1f1f"/>
          <w:rtl w:val="0"/>
        </w:rPr>
        <w:t xml:space="preserve">solely</w:t>
      </w:r>
      <w:r w:rsidDel="00000000" w:rsidR="00000000" w:rsidRPr="00000000">
        <w:rPr>
          <w:rFonts w:ascii="Google Sans" w:cs="Google Sans" w:eastAsia="Google Sans" w:hAnsi="Google Sans"/>
          <w:color w:val="1f1f1f"/>
          <w:rtl w:val="0"/>
        </w:rPr>
        <w:t xml:space="preserve"> to ingest commercial IP under these exact protective terms.</w:t>
      </w:r>
    </w:p>
    <w:p w:rsidR="00000000" w:rsidDel="00000000" w:rsidP="00000000" w:rsidRDefault="00000000" w:rsidRPr="00000000" w14:paraId="00000019">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DIU Commercial Solutions Openings (CSO):</w:t>
      </w:r>
      <w:r w:rsidDel="00000000" w:rsidR="00000000" w:rsidRPr="00000000">
        <w:rPr>
          <w:rFonts w:ascii="Google Sans" w:cs="Google Sans" w:eastAsia="Google Sans" w:hAnsi="Google Sans"/>
          <w:color w:val="1f1f1f"/>
          <w:rtl w:val="0"/>
        </w:rPr>
        <w:t xml:space="preserve"> The Defense Innovation Unit uses Other Transaction (OT) authorities specifically designed to attract commercial tech companies that refuse to surrender their IP. The government recognizes that forcing Unlimited Rights kills commercial viability, and they are now mandated to leverage commercial solutions wherever possible.</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By aggressively protecting our IP, Delos aligns perfectly with the DoD's mandate to foster a robust, commercially sustained defense industrial base.</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